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</w:rPr>
        <w:t xml:space="preserve">ФОРМА ОБОСНОВАНИЯ НМЦ</w:t>
      </w:r>
      <w:r>
        <w:rPr>
          <w:rFonts w:ascii="Times New Roman" w:hAnsi="Times New Roman" w:eastAsia="Times New Roman" w:cs="Times New Roman"/>
        </w:rPr>
      </w:r>
    </w:p>
    <w:p>
      <w:pPr>
        <w:pStyle w:val="666"/>
        <w:ind w:left="40" w:firstLine="0"/>
        <w:jc w:val="center"/>
        <w:spacing w:before="0"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726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 xml:space="preserve">1. Общая информация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776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2"/>
        <w:gridCol w:w="2098"/>
        <w:gridCol w:w="7116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666"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666"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2"/>
                <w:szCs w:val="22"/>
                <w:lang w:val="ru-RU" w:eastAsia="ru-RU" w:bidi="ru-RU"/>
              </w:rPr>
              <w:t xml:space="preserve">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W w:w="2098" w:type="dxa"/>
            <w:vAlign w:val="center"/>
            <w:textDirection w:val="lrTb"/>
            <w:noWrap w:val="false"/>
          </w:tcPr>
          <w:p>
            <w:pPr>
              <w:pStyle w:val="727"/>
              <w:ind w:left="0" w:right="0" w:firstLine="0"/>
              <w:jc w:val="center"/>
              <w:spacing w:before="0" w:beforeAutospacing="0" w:after="0" w:afterAutospacing="0" w:line="240" w:lineRule="auto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703"/>
                <w:sz w:val="22"/>
                <w:szCs w:val="22"/>
                <w:lang w:val="ru-RU" w:eastAsia="en-US" w:bidi="ar-SA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W w:w="7116" w:type="dxa"/>
            <w:vAlign w:val="center"/>
            <w:textDirection w:val="lrTb"/>
            <w:noWrap w:val="false"/>
          </w:tcPr>
          <w:p>
            <w:pPr>
              <w:pStyle w:val="727"/>
              <w:ind w:left="0" w:right="0" w:firstLine="0"/>
              <w:jc w:val="center"/>
              <w:spacing w:before="0" w:beforeAutospacing="0" w:after="0" w:afterAutospacing="0" w:line="240" w:lineRule="auto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703"/>
                <w:sz w:val="22"/>
                <w:szCs w:val="22"/>
                <w:lang w:val="ru-RU" w:eastAsia="en-US" w:bidi="ar-SA"/>
              </w:rPr>
              <w:t xml:space="preserve">Информация по лоту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336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666"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098" w:type="dxa"/>
            <w:vAlign w:val="center"/>
            <w:textDirection w:val="lrTb"/>
            <w:noWrap w:val="false"/>
          </w:tcPr>
          <w:p>
            <w:pPr>
              <w:pStyle w:val="666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auto" w:fill="ffffff"/>
            <w:tcW w:w="7116" w:type="dxa"/>
            <w:vAlign w:val="center"/>
            <w:textDirection w:val="lrTb"/>
            <w:noWrap w:val="false"/>
          </w:tcPr>
          <w:p>
            <w:pPr>
              <w:pStyle w:val="666"/>
              <w:ind w:left="0" w:right="0" w:firstLine="0"/>
              <w:jc w:val="both"/>
              <w:spacing w:before="0" w:beforeAutospacing="0" w:after="0" w:afterAutospacing="0" w:line="240" w:lineRule="auto"/>
              <w:widowControl w:val="off"/>
              <w:tabs>
                <w:tab w:val="clear" w:pos="708" w:leader="none"/>
                <w:tab w:val="right" w:pos="9781" w:leader="none"/>
              </w:tabs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auto"/>
                <w:spacing w:val="0"/>
                <w:position w:val="0"/>
                <w:sz w:val="22"/>
                <w:szCs w:val="22"/>
                <w:u w:val="none"/>
                <w:vertAlign w:val="baseline"/>
                <w:lang w:val="ru-RU" w:eastAsia="en-US" w:bidi="ar-SA"/>
              </w:rPr>
              <w:t xml:space="preserve">ОКПД2 43.22.12 Выполнение проектных, строительно-монтажных работ (включая поставку оборудования) по монтажу модульной компрессорной станции сжатого воздуха на Нерюнгринской ГРЭС в пос. Серебряный Бор Республики Саха (Якутия)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pacing w:val="0"/>
                <w:sz w:val="22"/>
                <w:szCs w:val="22"/>
                <w:highlight w:val="white"/>
                <w:shd w:val="clear" w:color="auto" w:fill="ffffff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pacing w:val="0"/>
                <w:sz w:val="22"/>
                <w:szCs w:val="22"/>
                <w:shd w:val="clear" w:color="auto" w:fill="auto"/>
                <w:lang w:val="ru-RU" w:eastAsia="en-US" w:bidi="ar-SA"/>
              </w:rPr>
              <w:t xml:space="preserve">в рамках инвестиционного проекта R_505-НГ-24-203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pacing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pacing w:val="0"/>
                <w:sz w:val="22"/>
                <w:szCs w:val="22"/>
              </w:rPr>
            </w:r>
          </w:p>
        </w:tc>
      </w:tr>
      <w:tr>
        <w:tblPrEx/>
        <w:trPr>
          <w:trHeight w:val="431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666"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pStyle w:val="666"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1.2.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  <w:p>
            <w:pPr>
              <w:pStyle w:val="666"/>
              <w:ind w:left="0" w:right="0" w:firstLine="0"/>
              <w:jc w:val="center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2098" w:type="dxa"/>
            <w:vAlign w:val="center"/>
            <w:textDirection w:val="lrTb"/>
            <w:noWrap w:val="false"/>
          </w:tcPr>
          <w:p>
            <w:pPr>
              <w:pStyle w:val="666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tcW w:w="7116" w:type="dxa"/>
            <w:vAlign w:val="center"/>
            <w:textDirection w:val="lrTb"/>
            <w:noWrap w:val="false"/>
          </w:tcPr>
          <w:p>
            <w:pPr>
              <w:pStyle w:val="666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2"/>
                <w:szCs w:val="22"/>
                <w:highlight w:val="white"/>
                <w:lang w:val="ru-RU" w:eastAsia="en-US" w:bidi="ar-SA"/>
              </w:rPr>
              <w:t xml:space="preserve">22123015-ТПИР ОБСЛ-2026-ДГК-НерГРЭС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ffffff"/>
            <w:tcW w:w="562" w:type="dxa"/>
            <w:vAlign w:val="center"/>
            <w:textDirection w:val="lrTb"/>
            <w:noWrap w:val="false"/>
          </w:tcPr>
          <w:p>
            <w:pPr>
              <w:pStyle w:val="727"/>
              <w:ind w:left="0" w:right="0" w:firstLine="0"/>
              <w:jc w:val="center"/>
              <w:spacing w:before="0" w:beforeAutospacing="0" w:after="0" w:afterAutospacing="0" w:line="240" w:lineRule="auto"/>
              <w:shd w:val="clear" w:color="auto" w:fill="auto"/>
              <w:widowControl w:val="off"/>
              <w:rPr>
                <w:bCs w:val="0"/>
                <w:i w:val="0"/>
                <w:sz w:val="22"/>
                <w:szCs w:val="22"/>
              </w:rPr>
            </w:pPr>
            <w:r>
              <w:rPr>
                <w:rStyle w:val="703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1.3.</w:t>
            </w:r>
            <w:r>
              <w:rPr>
                <w:bCs w:val="0"/>
                <w:i w:val="0"/>
                <w:sz w:val="22"/>
                <w:szCs w:val="22"/>
              </w:rPr>
            </w:r>
            <w:r>
              <w:rPr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ffffff"/>
            <w:tcW w:w="2098" w:type="dxa"/>
            <w:vAlign w:val="center"/>
            <w:textDirection w:val="lrTb"/>
            <w:noWrap w:val="false"/>
          </w:tcPr>
          <w:p>
            <w:pPr>
              <w:pStyle w:val="727"/>
              <w:ind w:left="0" w:right="0" w:firstLine="0"/>
              <w:jc w:val="left"/>
              <w:spacing w:before="0" w:beforeAutospacing="0" w:after="0" w:afterAutospacing="0" w:line="240" w:lineRule="auto"/>
              <w:shd w:val="clear" w:color="auto" w:fill="auto"/>
              <w:widowControl w:val="off"/>
              <w:rPr>
                <w:bCs w:val="0"/>
                <w:i w:val="0"/>
                <w:sz w:val="22"/>
                <w:szCs w:val="22"/>
              </w:rPr>
            </w:pPr>
            <w:r>
              <w:rPr>
                <w:rStyle w:val="703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НМЦ лота</w:t>
            </w:r>
            <w:r>
              <w:rPr>
                <w:bCs w:val="0"/>
                <w:i w:val="0"/>
                <w:sz w:val="22"/>
                <w:szCs w:val="22"/>
              </w:rPr>
            </w:r>
            <w:r>
              <w:rPr>
                <w:bCs w:val="0"/>
                <w:i w:val="0"/>
                <w:sz w:val="22"/>
                <w:szCs w:val="22"/>
              </w:rPr>
            </w:r>
          </w:p>
        </w:tc>
        <w:tc>
          <w:tcPr>
            <w:tcW w:w="7116" w:type="dxa"/>
            <w:vAlign w:val="center"/>
            <w:textDirection w:val="lrTb"/>
            <w:noWrap w:val="false"/>
          </w:tcPr>
          <w:p>
            <w:pPr>
              <w:pStyle w:val="666"/>
              <w:ind w:left="0" w:right="0" w:firstLine="0"/>
              <w:jc w:val="left"/>
              <w:spacing w:before="0" w:beforeAutospacing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z w:val="22"/>
                <w:szCs w:val="22"/>
                <w:lang w:val="ru-RU" w:eastAsia="en-US" w:bidi="ar-SA"/>
              </w:rPr>
              <w:t xml:space="preserve">23 600 000,00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val="ru-RU" w:eastAsia="en-US" w:bidi="ar-SA"/>
              </w:rPr>
              <w:t xml:space="preserve">рублей без учета НДС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</w:p>
        </w:tc>
      </w:tr>
    </w:tbl>
    <w:p>
      <w:pPr>
        <w:pStyle w:val="666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</w:r>
      <w:r>
        <w:rPr>
          <w:bCs w:val="0"/>
          <w:i w:val="0"/>
          <w:sz w:val="22"/>
          <w:szCs w:val="22"/>
        </w:rPr>
      </w:r>
      <w:r>
        <w:rPr>
          <w:bCs w:val="0"/>
          <w:i w:val="0"/>
          <w:sz w:val="22"/>
          <w:szCs w:val="22"/>
        </w:rPr>
      </w:r>
    </w:p>
    <w:p>
      <w:pPr>
        <w:pStyle w:val="666"/>
        <w:rPr>
          <w:rFonts w:ascii="Times New Roman" w:hAnsi="Times New Roman" w:cs="Times New Roman"/>
          <w:b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/>
          <w:i w:val="0"/>
          <w:iCs w:val="0"/>
          <w:sz w:val="22"/>
          <w:szCs w:val="22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i w:val="0"/>
          <w:iCs w:val="0"/>
          <w:sz w:val="22"/>
          <w:szCs w:val="22"/>
        </w:rPr>
      </w:r>
      <w:r>
        <w:rPr>
          <w:rFonts w:ascii="Times New Roman" w:hAnsi="Times New Roman" w:cs="Times New Roman"/>
          <w:b/>
          <w:i w:val="0"/>
          <w:iCs w:val="0"/>
          <w:sz w:val="22"/>
          <w:szCs w:val="22"/>
        </w:rPr>
      </w:r>
    </w:p>
    <w:p>
      <w:pPr>
        <w:pStyle w:val="666"/>
        <w:numPr>
          <w:ilvl w:val="0"/>
          <w:numId w:val="1"/>
        </w:numPr>
        <w:spacing w:before="0" w:after="0" w:line="244" w:lineRule="exact"/>
        <w:widowControl w:val="off"/>
        <w:rPr>
          <w:rFonts w:ascii="Times New Roman" w:hAnsi="Times New Roman"/>
          <w:b w:val="0"/>
          <w:bCs w:val="0"/>
          <w:i w:val="0"/>
          <w:strike w:val="0"/>
          <w:sz w:val="22"/>
          <w:szCs w:val="22"/>
          <w:u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2"/>
          <w:szCs w:val="22"/>
          <w:u w:val="none"/>
          <w:lang w:eastAsia="ru-RU" w:bidi="ru-RU"/>
        </w:rPr>
        <w:t xml:space="preserve">М</w:t>
      </w:r>
      <w:r>
        <w:rPr>
          <w:rFonts w:ascii="Times New Roman" w:hAnsi="Times New Roman"/>
          <w:b w:val="0"/>
          <w:i w:val="0"/>
          <w:strike w:val="0"/>
          <w:sz w:val="22"/>
          <w:szCs w:val="22"/>
          <w:u w:val="none"/>
        </w:rPr>
        <w:t xml:space="preserve">етод анализа ТКП</w:t>
      </w:r>
      <w:r>
        <w:rPr>
          <w:rFonts w:ascii="Times New Roman" w:hAnsi="Times New Roman"/>
          <w:b w:val="0"/>
          <w:bCs w:val="0"/>
          <w:i w:val="0"/>
          <w:strike w:val="0"/>
          <w:sz w:val="22"/>
          <w:szCs w:val="22"/>
          <w:u w:val="none"/>
        </w:rPr>
      </w:r>
      <w:r>
        <w:rPr>
          <w:rFonts w:ascii="Times New Roman" w:hAnsi="Times New Roman"/>
          <w:b w:val="0"/>
          <w:bCs w:val="0"/>
          <w:i w:val="0"/>
          <w:strike w:val="0"/>
          <w:sz w:val="22"/>
          <w:szCs w:val="22"/>
          <w:u w:val="none"/>
        </w:rPr>
      </w:r>
    </w:p>
    <w:p>
      <w:pPr>
        <w:pStyle w:val="666"/>
        <w:numPr>
          <w:ilvl w:val="0"/>
          <w:numId w:val="1"/>
        </w:numPr>
        <w:spacing w:before="0" w:after="60" w:line="244" w:lineRule="exact"/>
        <w:widowControl w:val="off"/>
        <w:rPr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 w:bidi="ru-RU"/>
        </w:rPr>
        <w:t xml:space="preserve">Обоснование расчета НМЦ</w:t>
      </w:r>
      <w:r>
        <w:rPr>
          <w:rFonts w:ascii="Times New Roman" w:hAnsi="Times New Roman" w:eastAsia="Times New Roman" w:cs="Times New Roman"/>
          <w:sz w:val="22"/>
          <w:szCs w:val="22"/>
          <w:lang w:eastAsia="ru-RU" w:bidi="ru-RU"/>
        </w:rPr>
        <w:t xml:space="preserve">: прилагаемые ТКП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66"/>
        <w:ind w:left="1149" w:firstLine="0"/>
        <w:spacing w:before="0" w:after="60" w:line="244" w:lineRule="exact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5000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31"/>
        <w:gridCol w:w="1701"/>
        <w:gridCol w:w="1984"/>
        <w:gridCol w:w="1843"/>
        <w:gridCol w:w="1809"/>
      </w:tblGrid>
      <w:tr>
        <w:tblPrEx/>
        <w:trPr>
          <w:trHeight w:val="70"/>
        </w:trPr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textDirection w:val="lrTb"/>
            <w:noWrap w:val="false"/>
          </w:tcPr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9" w:type="dxa"/>
            <w:textDirection w:val="lrTb"/>
            <w:noWrap w:val="false"/>
          </w:tcPr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1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vAlign w:val="center"/>
            <w:vMerge w:val="restart"/>
            <w:textDirection w:val="lrTb"/>
            <w:noWrap w:val="false"/>
          </w:tcPr>
          <w:p>
            <w:pPr>
              <w:pStyle w:val="666"/>
              <w:ind w:firstLine="0"/>
              <w:jc w:val="center"/>
              <w:spacing w:before="0" w:beforeAutospacing="0" w:after="0" w:afterAutospacing="0" w:line="240" w:lineRule="auto"/>
              <w:widowControl w:val="off"/>
              <w:tabs>
                <w:tab w:val="clear" w:pos="708" w:leader="none"/>
                <w:tab w:val="right" w:pos="9781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auto"/>
                <w:spacing w:val="0"/>
                <w:position w:val="0"/>
                <w:sz w:val="22"/>
                <w:szCs w:val="22"/>
                <w:u w:val="none"/>
                <w:vertAlign w:val="baseline"/>
                <w:lang w:val="ru-RU" w:eastAsia="en-US" w:bidi="ar-SA"/>
              </w:rPr>
              <w:t xml:space="preserve">ОКПД2 43.22.12 Выполнение проектных, строительно-монтажных работ (включая поставку оборудования) по монтажу модульной компрессорной станции сжатого воздуха на Нерюнгринской ГРЭС в пос. Серебряный Бор Республики Саха (Якутия)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pacing w:val="0"/>
                <w:sz w:val="22"/>
                <w:szCs w:val="22"/>
                <w:highlight w:val="white"/>
                <w:shd w:val="clear" w:color="auto" w:fill="ffffff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1"/>
                <w:spacing w:val="0"/>
                <w:sz w:val="22"/>
                <w:szCs w:val="22"/>
                <w:shd w:val="clear" w:color="auto" w:fill="auto"/>
                <w:lang w:val="ru-RU" w:eastAsia="en-US" w:bidi="ar-SA"/>
              </w:rPr>
              <w:t xml:space="preserve">в рамках инвестиционного проекта R_505-НГ-24-203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ТКП-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666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66"/>
              <w:jc w:val="center"/>
              <w:spacing w:before="60" w:after="6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  <w:t xml:space="preserve">23 600 000,00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Выбрано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</w:r>
          </w:p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Cs w:val="0"/>
                <w:i w:val="0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  <w:lang w:eastAsia="ru-RU"/>
              </w:rPr>
              <w:t xml:space="preserve">минимальное значение ТКП: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iCs w:val="0"/>
                <w:color w:val="000000"/>
                <w:sz w:val="22"/>
                <w:szCs w:val="22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color w:val="000000"/>
                <w:sz w:val="22"/>
                <w:szCs w:val="22"/>
                <w:highlight w:val="white"/>
              </w:rPr>
            </w:r>
          </w:p>
          <w:p>
            <w:pPr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 w:val="0"/>
                <w:i w:val="0"/>
                <w:iCs w:val="0"/>
                <w:color w:val="000000"/>
                <w:sz w:val="22"/>
                <w:szCs w:val="22"/>
                <w:highlight w:val="white"/>
                <w:lang w:eastAsia="ru-RU"/>
              </w:rPr>
              <w:t xml:space="preserve">23 600 000,00</w:t>
            </w:r>
            <w:r>
              <w:rPr>
                <w:rFonts w:ascii="Times New Roman" w:hAnsi="Times New Roman" w:eastAsia="Times New Roman" w:cs="Times New Roman"/>
                <w:bCs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2"/>
                <w:szCs w:val="22"/>
              </w:rPr>
            </w:r>
          </w:p>
          <w:p>
            <w:pPr>
              <w:pStyle w:val="666"/>
              <w:jc w:val="center"/>
              <w:spacing w:before="60" w:after="6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white"/>
              </w:rPr>
            </w:r>
          </w:p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</w:rPr>
            </w:r>
          </w:p>
          <w:p>
            <w:pPr>
              <w:pStyle w:val="666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09" w:type="dxa"/>
            <w:vMerge w:val="restart"/>
            <w:textDirection w:val="lrTb"/>
            <w:noWrap w:val="false"/>
          </w:tcPr>
          <w:p>
            <w:pPr>
              <w:pStyle w:val="666"/>
              <w:jc w:val="center"/>
              <w:spacing w:before="60" w:after="6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sz w:val="22"/>
                <w:szCs w:val="22"/>
                <w:u w:val="none"/>
              </w:rPr>
              <w:t xml:space="preserve">Использован Метод анализа ТКП (п. 3.3.8. Единой методики формирования плановых цен на закупку продукции для организаций Группы РусГидро). Заказчиком выбрано минимальное значение полученных ТКП.   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</w:p>
        </w:tc>
      </w:tr>
      <w:tr>
        <w:tblPrEx/>
        <w:trPr>
          <w:trHeight w:val="11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vMerge w:val="continue"/>
            <w:textDirection w:val="lrTb"/>
            <w:noWrap w:val="false"/>
          </w:tcPr>
          <w:p>
            <w:pPr>
              <w:pStyle w:val="666"/>
              <w:spacing w:before="0" w:after="160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ТКП-2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66"/>
              <w:jc w:val="center"/>
              <w:spacing w:before="60" w:after="6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  <w:t xml:space="preserve">24 514 000,00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666"/>
              <w:spacing w:before="0" w:after="160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09" w:type="dxa"/>
            <w:vMerge w:val="continue"/>
            <w:textDirection w:val="lrTb"/>
            <w:noWrap w:val="false"/>
          </w:tcPr>
          <w:p>
            <w:pPr>
              <w:pStyle w:val="666"/>
              <w:spacing w:before="60" w:after="6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1" w:type="dxa"/>
            <w:vMerge w:val="continue"/>
            <w:textDirection w:val="lrTb"/>
            <w:noWrap w:val="false"/>
          </w:tcPr>
          <w:p>
            <w:pPr>
              <w:pStyle w:val="666"/>
              <w:spacing w:before="0" w:after="160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ТКП-3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666"/>
              <w:jc w:val="center"/>
              <w:spacing w:before="60" w:after="6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  <w:t xml:space="preserve">25 221 310,84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pStyle w:val="666"/>
              <w:spacing w:before="0" w:after="160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809" w:type="dxa"/>
            <w:vMerge w:val="continue"/>
            <w:textDirection w:val="lrTb"/>
            <w:noWrap w:val="false"/>
          </w:tcPr>
          <w:p>
            <w:pPr>
              <w:pStyle w:val="666"/>
              <w:spacing w:before="60" w:after="60" w:line="240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ru-RU"/>
              </w:rPr>
            </w:r>
          </w:p>
        </w:tc>
      </w:tr>
    </w:tbl>
    <w:p>
      <w:pPr>
        <w:pStyle w:val="666"/>
        <w:ind w:left="440" w:firstLine="0"/>
        <w:spacing w:before="0" w:after="293" w:line="244" w:lineRule="exact"/>
        <w:widowControl w:val="off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lang w:eastAsia="ru-RU" w:bidi="ru-RU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sectPr>
      <w:footnotePr/>
      <w:endnotePr/>
      <w:type w:val="nextPage"/>
      <w:pgSz w:w="11906" w:h="16838" w:orient="portrait"/>
      <w:pgMar w:top="851" w:right="851" w:bottom="851" w:left="130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Segoe UI">
    <w:panose1 w:val="020B0503020204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4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8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30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6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90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yperlink"/>
    <w:uiPriority w:val="99"/>
    <w:unhideWhenUsed/>
    <w:rPr>
      <w:color w:val="0000ff" w:themeColor="hyperlink"/>
      <w:u w:val="single"/>
    </w:rPr>
  </w:style>
  <w:style w:type="character" w:styleId="659">
    <w:name w:val="footnote reference"/>
    <w:basedOn w:val="699"/>
    <w:uiPriority w:val="99"/>
    <w:unhideWhenUsed/>
    <w:rPr>
      <w:vertAlign w:val="superscript"/>
    </w:rPr>
  </w:style>
  <w:style w:type="character" w:styleId="660">
    <w:name w:val="endnote reference"/>
    <w:basedOn w:val="699"/>
    <w:uiPriority w:val="99"/>
    <w:semiHidden/>
    <w:unhideWhenUsed/>
    <w:rPr>
      <w:vertAlign w:val="superscript"/>
    </w:rPr>
  </w:style>
  <w:style w:type="paragraph" w:styleId="661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662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663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664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665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666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67">
    <w:name w:val="Heading 1"/>
    <w:basedOn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8">
    <w:name w:val="Heading 2"/>
    <w:basedOn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9">
    <w:name w:val="Heading 3"/>
    <w:basedOn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6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Интернет-ссылка"/>
    <w:uiPriority w:val="99"/>
    <w:unhideWhenUsed/>
    <w:rPr>
      <w:color w:val="0000ff" w:themeColor="hyperlink"/>
      <w:u w:val="single"/>
    </w:rPr>
  </w:style>
  <w:style w:type="character" w:styleId="677">
    <w:name w:val="Привязка сноски"/>
    <w:rPr>
      <w:vertAlign w:val="superscript"/>
    </w:rPr>
  </w:style>
  <w:style w:type="character" w:styleId="678">
    <w:name w:val="Footnote Characters"/>
    <w:basedOn w:val="699"/>
    <w:uiPriority w:val="99"/>
    <w:unhideWhenUsed/>
    <w:qFormat/>
    <w:rPr>
      <w:vertAlign w:val="superscript"/>
    </w:rPr>
  </w:style>
  <w:style w:type="character" w:styleId="679">
    <w:name w:val="Привязка концевой сноски"/>
    <w:rPr>
      <w:vertAlign w:val="superscript"/>
    </w:rPr>
  </w:style>
  <w:style w:type="character" w:styleId="680">
    <w:name w:val="Endnote Characters"/>
    <w:basedOn w:val="699"/>
    <w:uiPriority w:val="99"/>
    <w:semiHidden/>
    <w:unhideWhenUsed/>
    <w:qFormat/>
    <w:rPr>
      <w:vertAlign w:val="superscript"/>
    </w:rPr>
  </w:style>
  <w:style w:type="character" w:styleId="681">
    <w:name w:val="Heading 1 Char"/>
    <w:basedOn w:val="699"/>
    <w:uiPriority w:val="9"/>
    <w:qFormat/>
    <w:rPr>
      <w:rFonts w:ascii="Arial" w:hAnsi="Arial" w:eastAsia="Arial" w:cs="Arial"/>
      <w:sz w:val="40"/>
      <w:szCs w:val="40"/>
    </w:rPr>
  </w:style>
  <w:style w:type="character" w:styleId="682">
    <w:name w:val="Heading 2 Char"/>
    <w:basedOn w:val="699"/>
    <w:uiPriority w:val="9"/>
    <w:qFormat/>
    <w:rPr>
      <w:rFonts w:ascii="Arial" w:hAnsi="Arial" w:eastAsia="Arial" w:cs="Arial"/>
      <w:sz w:val="34"/>
    </w:rPr>
  </w:style>
  <w:style w:type="character" w:styleId="683">
    <w:name w:val="Heading 3 Char"/>
    <w:basedOn w:val="699"/>
    <w:uiPriority w:val="9"/>
    <w:qFormat/>
    <w:rPr>
      <w:rFonts w:ascii="Arial" w:hAnsi="Arial" w:eastAsia="Arial" w:cs="Arial"/>
      <w:sz w:val="30"/>
      <w:szCs w:val="30"/>
    </w:rPr>
  </w:style>
  <w:style w:type="character" w:styleId="684">
    <w:name w:val="Heading 4 Char"/>
    <w:basedOn w:val="699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85">
    <w:name w:val="Heading 5 Char"/>
    <w:basedOn w:val="699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86">
    <w:name w:val="Heading 6 Char"/>
    <w:basedOn w:val="699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7">
    <w:name w:val="Heading 7 Char"/>
    <w:basedOn w:val="69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8 Char"/>
    <w:basedOn w:val="699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89">
    <w:name w:val="Heading 9 Char"/>
    <w:basedOn w:val="699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0">
    <w:name w:val="Title Char"/>
    <w:basedOn w:val="699"/>
    <w:uiPriority w:val="10"/>
    <w:qFormat/>
    <w:rPr>
      <w:sz w:val="48"/>
      <w:szCs w:val="48"/>
    </w:rPr>
  </w:style>
  <w:style w:type="character" w:styleId="691">
    <w:name w:val="Subtitle Char"/>
    <w:basedOn w:val="699"/>
    <w:uiPriority w:val="11"/>
    <w:qFormat/>
    <w:rPr>
      <w:sz w:val="24"/>
      <w:szCs w:val="24"/>
    </w:rPr>
  </w:style>
  <w:style w:type="character" w:styleId="692">
    <w:name w:val="Quote Char"/>
    <w:uiPriority w:val="29"/>
    <w:qFormat/>
    <w:rPr>
      <w:i/>
    </w:rPr>
  </w:style>
  <w:style w:type="character" w:styleId="693">
    <w:name w:val="Intense Quote Char"/>
    <w:uiPriority w:val="30"/>
    <w:qFormat/>
    <w:rPr>
      <w:i/>
    </w:rPr>
  </w:style>
  <w:style w:type="character" w:styleId="694">
    <w:name w:val="Header Char"/>
    <w:basedOn w:val="699"/>
    <w:uiPriority w:val="99"/>
    <w:qFormat/>
  </w:style>
  <w:style w:type="character" w:styleId="695">
    <w:name w:val="Footer Char"/>
    <w:basedOn w:val="699"/>
    <w:uiPriority w:val="99"/>
    <w:qFormat/>
  </w:style>
  <w:style w:type="character" w:styleId="696">
    <w:name w:val="Caption Char"/>
    <w:uiPriority w:val="99"/>
    <w:qFormat/>
  </w:style>
  <w:style w:type="character" w:styleId="697">
    <w:name w:val="Footnote Text Char"/>
    <w:uiPriority w:val="99"/>
    <w:qFormat/>
    <w:rPr>
      <w:sz w:val="18"/>
    </w:rPr>
  </w:style>
  <w:style w:type="character" w:styleId="698">
    <w:name w:val="Endnote Text Char"/>
    <w:uiPriority w:val="99"/>
    <w:qFormat/>
    <w:rPr>
      <w:sz w:val="20"/>
    </w:rPr>
  </w:style>
  <w:style w:type="character" w:styleId="699" w:default="1">
    <w:name w:val="Default Paragraph Font"/>
    <w:uiPriority w:val="1"/>
    <w:semiHidden/>
    <w:unhideWhenUsed/>
    <w:qFormat/>
  </w:style>
  <w:style w:type="character" w:styleId="700" w:customStyle="1">
    <w:name w:val="Основной текст (14)_"/>
    <w:basedOn w:val="699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701" w:customStyle="1">
    <w:name w:val="Подпись к таблице (2)_"/>
    <w:basedOn w:val="699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702" w:customStyle="1">
    <w:name w:val="Основной текст (2)_"/>
    <w:basedOn w:val="699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703" w:customStyle="1">
    <w:name w:val="Основной текст (2) + 11 pt"/>
    <w:basedOn w:val="702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character" w:styleId="704" w:customStyle="1">
    <w:name w:val="Текст выноски Знак"/>
    <w:basedOn w:val="699"/>
    <w:uiPriority w:val="99"/>
    <w:semiHidden/>
    <w:qFormat/>
    <w:rPr>
      <w:rFonts w:ascii="Segoe UI" w:hAnsi="Segoe UI" w:cs="Segoe UI"/>
      <w:sz w:val="18"/>
      <w:szCs w:val="18"/>
    </w:rPr>
  </w:style>
  <w:style w:type="paragraph" w:styleId="705">
    <w:name w:val="Заголовок"/>
    <w:basedOn w:val="666"/>
    <w:next w:val="706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06">
    <w:name w:val="Body Text"/>
    <w:basedOn w:val="666"/>
    <w:pPr>
      <w:spacing w:before="0" w:after="140" w:line="276" w:lineRule="auto"/>
    </w:pPr>
  </w:style>
  <w:style w:type="paragraph" w:styleId="707">
    <w:name w:val="List"/>
    <w:basedOn w:val="706"/>
    <w:rPr>
      <w:rFonts w:cs="Arial Unicode MS"/>
    </w:rPr>
  </w:style>
  <w:style w:type="paragraph" w:styleId="708">
    <w:name w:val="Caption"/>
    <w:basedOn w:val="666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09">
    <w:name w:val="Указатель"/>
    <w:basedOn w:val="666"/>
    <w:qFormat/>
    <w:pPr>
      <w:suppressLineNumbers/>
    </w:pPr>
    <w:rPr>
      <w:rFonts w:cs="Arial Unicode MS"/>
    </w:rPr>
  </w:style>
  <w:style w:type="paragraph" w:styleId="710">
    <w:name w:val="List Paragraph"/>
    <w:basedOn w:val="666"/>
    <w:uiPriority w:val="34"/>
    <w:qFormat/>
    <w:pPr>
      <w:contextualSpacing/>
      <w:ind w:left="720" w:firstLine="0"/>
      <w:spacing w:before="0" w:after="160"/>
    </w:pPr>
  </w:style>
  <w:style w:type="paragraph" w:styleId="711">
    <w:name w:val="Title"/>
    <w:basedOn w:val="66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12">
    <w:name w:val="Subtitle"/>
    <w:basedOn w:val="666"/>
    <w:uiPriority w:val="11"/>
    <w:qFormat/>
    <w:pPr>
      <w:spacing w:before="200" w:after="200"/>
    </w:pPr>
    <w:rPr>
      <w:sz w:val="24"/>
      <w:szCs w:val="24"/>
    </w:rPr>
  </w:style>
  <w:style w:type="paragraph" w:styleId="713">
    <w:name w:val="Quote"/>
    <w:basedOn w:val="666"/>
    <w:uiPriority w:val="29"/>
    <w:qFormat/>
    <w:pPr>
      <w:ind w:left="720" w:right="720" w:firstLine="0"/>
    </w:pPr>
    <w:rPr>
      <w:i/>
    </w:rPr>
  </w:style>
  <w:style w:type="paragraph" w:styleId="714">
    <w:name w:val="Intense Quote"/>
    <w:basedOn w:val="666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5">
    <w:name w:val="Колонтитул"/>
    <w:basedOn w:val="666"/>
    <w:qFormat/>
  </w:style>
  <w:style w:type="paragraph" w:styleId="716">
    <w:name w:val="Header"/>
    <w:basedOn w:val="666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17">
    <w:name w:val="Footer"/>
    <w:basedOn w:val="666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18">
    <w:name w:val="footnote text"/>
    <w:basedOn w:val="66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19">
    <w:name w:val="endnote text"/>
    <w:basedOn w:val="666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20">
    <w:name w:val="toc 1"/>
    <w:basedOn w:val="666"/>
    <w:uiPriority w:val="39"/>
    <w:unhideWhenUsed/>
    <w:pPr>
      <w:ind w:left="0" w:right="0" w:firstLine="0"/>
      <w:spacing w:before="0" w:after="57"/>
    </w:pPr>
  </w:style>
  <w:style w:type="paragraph" w:styleId="721">
    <w:name w:val="toc 2"/>
    <w:basedOn w:val="666"/>
    <w:uiPriority w:val="39"/>
    <w:unhideWhenUsed/>
    <w:pPr>
      <w:ind w:left="283" w:right="0" w:firstLine="0"/>
      <w:spacing w:before="0" w:after="57"/>
    </w:pPr>
  </w:style>
  <w:style w:type="paragraph" w:styleId="722">
    <w:name w:val="toc 3"/>
    <w:basedOn w:val="666"/>
    <w:uiPriority w:val="39"/>
    <w:unhideWhenUsed/>
    <w:pPr>
      <w:ind w:left="567" w:right="0" w:firstLine="0"/>
      <w:spacing w:before="0" w:after="57"/>
    </w:pPr>
  </w:style>
  <w:style w:type="paragraph" w:styleId="723">
    <w:name w:val="toc 4"/>
    <w:basedOn w:val="666"/>
    <w:uiPriority w:val="39"/>
    <w:unhideWhenUsed/>
    <w:pPr>
      <w:ind w:left="850" w:right="0" w:firstLine="0"/>
      <w:spacing w:before="0" w:after="57"/>
    </w:pPr>
  </w:style>
  <w:style w:type="paragraph" w:styleId="724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25">
    <w:name w:val="table of figures"/>
    <w:basedOn w:val="666"/>
    <w:uiPriority w:val="99"/>
    <w:unhideWhenUsed/>
    <w:qFormat/>
    <w:pPr>
      <w:spacing w:before="0" w:after="0" w:afterAutospacing="0"/>
    </w:pPr>
  </w:style>
  <w:style w:type="paragraph" w:styleId="726" w:customStyle="1">
    <w:name w:val="Подпись к таблице (2)"/>
    <w:basedOn w:val="666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727" w:customStyle="1">
    <w:name w:val="Основной текст (2)"/>
    <w:basedOn w:val="666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728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29">
    <w:name w:val="Balloon Text"/>
    <w:basedOn w:val="666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numbering" w:styleId="730" w:default="1">
    <w:name w:val="No List"/>
    <w:uiPriority w:val="99"/>
    <w:semiHidden/>
    <w:unhideWhenUsed/>
    <w:qFormat/>
  </w:style>
  <w:style w:type="table" w:styleId="731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4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5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6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8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debf6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0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febf6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62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63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64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5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6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5b9bd5" w:themeFill="accent1"/>
      </w:tc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77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472c4" w:themeFill="accent5"/>
      </w:tc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773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7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7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7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7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7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7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80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95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96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97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98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99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00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01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5e6f4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cfdc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1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22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2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2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2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2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2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29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3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83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3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3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3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3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3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3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83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83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84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84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84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84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4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ce0f1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ce0f1" w:themeFill="accent1" w:themeFillTint="50"/>
      </w:tcPr>
    </w:tblStylePr>
    <w:tblStylePr w:type="fir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firstRow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Col">
      <w:rPr>
        <w:color w:val="f2f2f2"/>
        <w:sz w:val="22"/>
      </w:rPr>
      <w:tcPr>
        <w:shd w:val="clear" w:color="ffffff" w:fill="67a4d8" w:themeFill="accent1" w:themeFillTint="EA"/>
      </w:tcPr>
    </w:tblStylePr>
    <w:tblStylePr w:type="lastRow">
      <w:rPr>
        <w:color w:val="f2f2f2"/>
        <w:sz w:val="22"/>
      </w:rPr>
      <w:tcPr>
        <w:shd w:val="clear" w:color="ffffff" w:fill="67a4d8" w:themeFill="accent1" w:themeFillTint="EA"/>
      </w:tcPr>
    </w:tblStylePr>
  </w:style>
  <w:style w:type="table" w:styleId="84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cPr>
        <w:shd w:val="clear" w:color="ffffff" w:fill="f4b185" w:themeFill="accent2" w:themeFillTint="97"/>
      </w:tcPr>
    </w:tblStylePr>
  </w:style>
  <w:style w:type="table" w:styleId="84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cPr>
        <w:shd w:val="clear" w:color="ffffff" w:fill="a5a5a5" w:themeFill="accent3" w:themeFillTint="FE"/>
      </w:tcPr>
    </w:tblStylePr>
  </w:style>
  <w:style w:type="table" w:styleId="84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d864" w:themeFill="accent4" w:themeFillTint="9A"/>
      </w:tcPr>
    </w:tblStylePr>
  </w:style>
  <w:style w:type="table" w:styleId="84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9e2f2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9e2f2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472c4" w:themeFill="accent5"/>
      </w:tcPr>
    </w:tblStylePr>
    <w:tblStylePr w:type="firstRow">
      <w:rPr>
        <w:color w:val="f2f2f2"/>
        <w:sz w:val="22"/>
      </w:rPr>
      <w:tcPr>
        <w:shd w:val="clear" w:color="ffffff" w:fill="4472c4" w:themeFill="accent5"/>
      </w:tcPr>
    </w:tblStylePr>
    <w:tblStylePr w:type="lastCol">
      <w:rPr>
        <w:color w:val="f2f2f2"/>
        <w:sz w:val="22"/>
      </w:rPr>
      <w:tcPr>
        <w:shd w:val="clear" w:color="ffffff" w:fill="4472c4" w:themeFill="accent5"/>
      </w:tcPr>
    </w:tblStylePr>
    <w:tblStylePr w:type="lastRow">
      <w:rPr>
        <w:color w:val="f2f2f2"/>
        <w:sz w:val="22"/>
      </w:rPr>
      <w:tcPr>
        <w:shd w:val="clear" w:color="ffffff" w:fill="4472c4" w:themeFill="accent5"/>
      </w:tcPr>
    </w:tblStylePr>
  </w:style>
  <w:style w:type="table" w:styleId="84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70ad47" w:themeFill="accent6"/>
      </w:tcPr>
    </w:tblStylePr>
    <w:tblStylePr w:type="firstRow">
      <w:rPr>
        <w:color w:val="f2f2f2"/>
        <w:sz w:val="22"/>
      </w:rPr>
      <w:tcPr>
        <w:shd w:val="clear" w:color="ffffff" w:fill="70ad47" w:themeFill="accent6"/>
      </w:tcPr>
    </w:tblStylePr>
    <w:tblStylePr w:type="lastCol">
      <w:rPr>
        <w:color w:val="f2f2f2"/>
        <w:sz w:val="22"/>
      </w:rPr>
      <w:tcPr>
        <w:shd w:val="clear" w:color="ffffff" w:fill="70ad47" w:themeFill="accent6"/>
      </w:tcPr>
    </w:tblStylePr>
    <w:tblStylePr w:type="lastRow">
      <w:rPr>
        <w:color w:val="f2f2f2"/>
        <w:sz w:val="22"/>
      </w:rPr>
      <w:tcPr>
        <w:shd w:val="clear" w:color="ffffff" w:fill="70ad47" w:themeFill="accent6"/>
      </w:tcPr>
    </w:tblStylePr>
  </w:style>
  <w:style w:type="table" w:styleId="850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51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2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53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54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55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56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5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lutfullina_ee</cp:lastModifiedBy>
  <cp:revision>26</cp:revision>
  <dcterms:created xsi:type="dcterms:W3CDTF">2022-12-29T01:26:00Z</dcterms:created>
  <dcterms:modified xsi:type="dcterms:W3CDTF">2026-07-23T23:30:58Z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